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0BA54">
      <w:pPr>
        <w:pStyle w:val="6"/>
        <w:keepNext w:val="0"/>
        <w:keepLines w:val="0"/>
        <w:pageBreakBefore w:val="0"/>
        <w:kinsoku/>
        <w:wordWrap/>
        <w:overflowPunct/>
        <w:topLinePunct w:val="0"/>
        <w:bidi w:val="0"/>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8E1D479">
      <w:pPr>
        <w:pStyle w:val="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仿宋_GB2312" w:eastAsia="仿宋_GB2312" w:cs="仿宋_GB2312"/>
          <w:sz w:val="32"/>
          <w:szCs w:val="32"/>
          <w:lang w:val="en-US" w:eastAsia="zh-CN"/>
        </w:rPr>
      </w:pPr>
    </w:p>
    <w:p w14:paraId="0F848CFB">
      <w:pPr>
        <w:pStyle w:val="6"/>
        <w:keepNext w:val="0"/>
        <w:keepLines w:val="0"/>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lang w:eastAsia="zh-CN"/>
        </w:rPr>
        <w:t>关于鄂州市</w:t>
      </w:r>
      <w:r>
        <w:rPr>
          <w:rFonts w:hint="eastAsia" w:ascii="方正小标宋简体" w:hAnsi="方正小标宋简体" w:eastAsia="方正小标宋简体" w:cs="方正小标宋简体"/>
          <w:i w:val="0"/>
          <w:iCs w:val="0"/>
          <w:caps w:val="0"/>
          <w:color w:val="333333"/>
          <w:spacing w:val="0"/>
          <w:sz w:val="44"/>
          <w:szCs w:val="44"/>
        </w:rPr>
        <w:t>托育服务收费标准的通知</w:t>
      </w:r>
    </w:p>
    <w:p w14:paraId="7B9143A9">
      <w:pPr>
        <w:pStyle w:val="6"/>
        <w:keepNext w:val="0"/>
        <w:keepLines w:val="0"/>
        <w:pageBreakBefore w:val="0"/>
        <w:kinsoku/>
        <w:wordWrap/>
        <w:overflowPunct/>
        <w:topLinePunct w:val="0"/>
        <w:bidi w:val="0"/>
        <w:snapToGrid/>
        <w:spacing w:line="60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i w:val="0"/>
          <w:iCs w:val="0"/>
          <w:caps w:val="0"/>
          <w:color w:val="333333"/>
          <w:spacing w:val="0"/>
          <w:sz w:val="32"/>
          <w:szCs w:val="32"/>
        </w:rPr>
        <w:t>（征求意见稿）</w:t>
      </w:r>
    </w:p>
    <w:p w14:paraId="425B78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lang w:eastAsia="zh-CN"/>
        </w:rPr>
      </w:pPr>
    </w:p>
    <w:p w14:paraId="0EBC6B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b w:val="0"/>
          <w:bCs w:val="0"/>
          <w:sz w:val="32"/>
          <w:szCs w:val="32"/>
          <w:lang w:eastAsia="zh-CN"/>
        </w:rPr>
        <w:t>各区发改经信局、卫生健康局、教育局、财政局，葛店经开区经发局、</w:t>
      </w:r>
      <w:r>
        <w:rPr>
          <w:rFonts w:hint="eastAsia" w:ascii="仿宋_GB2312" w:hAnsi="仿宋_GB2312" w:eastAsia="仿宋_GB2312"/>
          <w:sz w:val="32"/>
          <w:szCs w:val="32"/>
          <w:lang w:val="en-US" w:eastAsia="zh-CN"/>
        </w:rPr>
        <w:t>城乡融合发展局、</w:t>
      </w:r>
      <w:r>
        <w:rPr>
          <w:rFonts w:hint="eastAsia" w:ascii="仿宋_GB2312" w:hAnsi="仿宋_GB2312" w:eastAsia="仿宋_GB2312" w:cs="仿宋_GB2312"/>
          <w:b w:val="0"/>
          <w:bCs w:val="0"/>
          <w:sz w:val="32"/>
          <w:szCs w:val="32"/>
          <w:lang w:eastAsia="zh-CN"/>
        </w:rPr>
        <w:t>财金局</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b w:val="0"/>
          <w:bCs w:val="0"/>
          <w:sz w:val="32"/>
          <w:szCs w:val="32"/>
          <w:lang w:eastAsia="zh-CN"/>
        </w:rPr>
        <w:t>临空经济区经发局、</w:t>
      </w:r>
      <w:r>
        <w:rPr>
          <w:rFonts w:hint="eastAsia" w:ascii="仿宋_GB2312" w:hAnsi="仿宋_GB2312" w:eastAsia="仿宋_GB2312"/>
          <w:sz w:val="32"/>
          <w:szCs w:val="32"/>
          <w:lang w:val="en-US" w:eastAsia="zh-CN"/>
        </w:rPr>
        <w:t>社会事务局、</w:t>
      </w:r>
      <w:r>
        <w:rPr>
          <w:rFonts w:hint="eastAsia" w:ascii="仿宋_GB2312" w:hAnsi="仿宋_GB2312" w:eastAsia="仿宋_GB2312" w:cs="仿宋_GB2312"/>
          <w:b w:val="0"/>
          <w:bCs w:val="0"/>
          <w:sz w:val="32"/>
          <w:szCs w:val="32"/>
          <w:lang w:eastAsia="zh-CN"/>
        </w:rPr>
        <w:t>财金局</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各有关托育</w:t>
      </w:r>
      <w:r>
        <w:rPr>
          <w:rFonts w:hint="eastAsia" w:ascii="仿宋_GB2312" w:hAnsi="仿宋_GB2312" w:eastAsia="仿宋_GB2312" w:cs="仿宋_GB2312"/>
          <w:color w:val="auto"/>
          <w:spacing w:val="-6"/>
          <w:sz w:val="32"/>
          <w:szCs w:val="32"/>
          <w:lang w:eastAsia="zh-CN"/>
        </w:rPr>
        <w:t>服务</w:t>
      </w:r>
      <w:r>
        <w:rPr>
          <w:rFonts w:hint="eastAsia" w:ascii="仿宋_GB2312" w:hAnsi="仿宋_GB2312" w:eastAsia="仿宋_GB2312" w:cs="仿宋_GB2312"/>
          <w:color w:val="auto"/>
          <w:spacing w:val="-6"/>
          <w:sz w:val="32"/>
          <w:szCs w:val="32"/>
        </w:rPr>
        <w:t>机构：</w:t>
      </w:r>
    </w:p>
    <w:p w14:paraId="1FBE9832">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为规范我市托育服务收费行为，促进普惠托育服务高质量发展，满足群众对优质托育服务的需求，</w:t>
      </w:r>
      <w:r>
        <w:rPr>
          <w:rFonts w:hint="default" w:ascii="Times New Roman" w:hAnsi="Times New Roman" w:eastAsia="仿宋_GB2312" w:cs="Times New Roman"/>
          <w:color w:val="auto"/>
          <w:sz w:val="32"/>
          <w:szCs w:val="32"/>
          <w:highlight w:val="none"/>
          <w:lang w:val="en-US" w:eastAsia="zh-CN"/>
        </w:rPr>
        <w:t>根据《国家发展改革委 国家卫生健康委关于进一步完善价格形成机制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支持普惠托育服务体系建设的通知》</w:t>
      </w:r>
      <w:r>
        <w:rPr>
          <w:rFonts w:hint="eastAsia" w:ascii="仿宋_GB2312" w:hAnsi="仿宋_GB2312" w:eastAsia="仿宋_GB2312" w:cs="仿宋_GB2312"/>
          <w:color w:val="auto"/>
          <w:sz w:val="32"/>
          <w:szCs w:val="32"/>
          <w:highlight w:val="none"/>
          <w:lang w:val="en-US" w:eastAsia="zh-CN"/>
        </w:rPr>
        <w:t>（发改价格〔2024〕1477号）、《省发改委 省卫健委等五部门关于优化收费管理政策促进普惠托育服务高质量发展的通知》（鄂发改价调〔2025〕91号）等</w:t>
      </w:r>
      <w:r>
        <w:rPr>
          <w:rFonts w:hint="eastAsia" w:ascii="仿宋_GB2312" w:hAnsi="仿宋_GB2312" w:eastAsia="仿宋_GB2312" w:cs="仿宋_GB2312"/>
          <w:color w:val="auto"/>
          <w:sz w:val="32"/>
          <w:szCs w:val="32"/>
        </w:rPr>
        <w:t>有关规定</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托育服务收费标准</w:t>
      </w:r>
      <w:r>
        <w:rPr>
          <w:rFonts w:hint="eastAsia" w:ascii="仿宋_GB2312" w:hAnsi="仿宋_GB2312" w:eastAsia="仿宋_GB2312" w:cs="仿宋_GB2312"/>
          <w:b w:val="0"/>
          <w:bCs w:val="0"/>
          <w:sz w:val="32"/>
          <w:szCs w:val="32"/>
          <w:lang w:val="en-US" w:eastAsia="zh-CN"/>
        </w:rPr>
        <w:t xml:space="preserve">，现将有关事项通知如下：  </w:t>
      </w:r>
    </w:p>
    <w:p w14:paraId="1CB44C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适用范围</w:t>
      </w:r>
    </w:p>
    <w:p w14:paraId="07E955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市范围内</w:t>
      </w:r>
      <w:r>
        <w:rPr>
          <w:rFonts w:hint="eastAsia" w:ascii="仿宋_GB2312" w:hAnsi="仿宋_GB2312" w:eastAsia="仿宋_GB2312" w:cs="仿宋_GB2312"/>
          <w:sz w:val="32"/>
          <w:szCs w:val="32"/>
          <w:lang w:eastAsia="zh-CN"/>
        </w:rPr>
        <w:t>经有关部门登记、卫生健康部门备案，面向3岁以下婴幼儿提供照护服务的普惠托育服务机构，包括公办托育服务机构、公办幼儿园及普惠性民办幼儿园开设的托班</w:t>
      </w:r>
      <w:r>
        <w:rPr>
          <w:rFonts w:hint="eastAsia" w:ascii="仿宋_GB2312" w:hAnsi="仿宋_GB2312" w:eastAsia="仿宋_GB2312" w:cs="仿宋_GB2312"/>
          <w:sz w:val="32"/>
          <w:szCs w:val="32"/>
        </w:rPr>
        <w:t>（以下统称“托育机构”）</w:t>
      </w:r>
      <w:r>
        <w:rPr>
          <w:rFonts w:hint="eastAsia" w:ascii="仿宋_GB2312" w:hAnsi="仿宋_GB2312" w:eastAsia="仿宋_GB2312" w:cs="仿宋_GB2312"/>
          <w:sz w:val="32"/>
          <w:szCs w:val="32"/>
          <w:lang w:eastAsia="zh-CN"/>
        </w:rPr>
        <w:t>。</w:t>
      </w:r>
    </w:p>
    <w:p w14:paraId="262C31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二、收费项目及管理方式</w:t>
      </w:r>
    </w:p>
    <w:p w14:paraId="47796B0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sz w:val="32"/>
          <w:szCs w:val="32"/>
        </w:rPr>
        <w:t>托育服务收费包括基本服务费和其他服务费。其中，基本服务费包括保育费、住宿费（仅限寄宿制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我市目前无寄宿制</w:t>
      </w:r>
      <w:r>
        <w:rPr>
          <w:rFonts w:hint="eastAsia" w:ascii="仿宋_GB2312" w:hAnsi="仿宋_GB2312" w:eastAsia="仿宋_GB2312" w:cs="仿宋_GB2312"/>
          <w:sz w:val="32"/>
          <w:szCs w:val="32"/>
        </w:rPr>
        <w:t>），实行政府指导价管理；其他服务费</w:t>
      </w:r>
      <w:r>
        <w:rPr>
          <w:rFonts w:hint="eastAsia" w:ascii="仿宋_GB2312" w:hAnsi="仿宋_GB2312" w:eastAsia="仿宋_GB2312" w:cs="仿宋_GB2312"/>
          <w:color w:val="auto"/>
          <w:sz w:val="32"/>
          <w:szCs w:val="32"/>
          <w:highlight w:val="none"/>
          <w:lang w:val="en-US" w:eastAsia="zh-CN"/>
        </w:rPr>
        <w:t>包括伙食（含餐点）费、体检费、基本医疗保险费、乘车（含校车）费、外出活动费</w:t>
      </w:r>
      <w:r>
        <w:rPr>
          <w:rFonts w:hint="eastAsia" w:ascii="仿宋_GB2312" w:hAnsi="仿宋_GB2312" w:eastAsia="仿宋_GB2312" w:cs="仿宋_GB2312"/>
          <w:sz w:val="32"/>
          <w:szCs w:val="32"/>
        </w:rPr>
        <w:t>，原则上由托育机构依据经营成本和市场供求状况合理确定。</w:t>
      </w:r>
    </w:p>
    <w:p w14:paraId="751D3A6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三、收费标准</w:t>
      </w:r>
    </w:p>
    <w:p w14:paraId="24DA7E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（一）班型设置</w:t>
      </w:r>
    </w:p>
    <w:p w14:paraId="1F32C5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国家卫生健康委关于印发托育机构设置标准（试行）和托育机构管理规范（试行）的通知》（国卫人口发〔2019〕58号）规定，托育机构一般设置乳儿班（6－12个月）、托小班（12－24个月）、托大班（24－36个月）三种班型，18个月以上的婴幼儿可混合编班。全市公办幼儿园、普惠性民办幼儿园托班招收2-3岁幼儿，均为托大班；公办托育服务机构分为乳儿班、托小班、托大班（混龄班）。</w:t>
      </w:r>
    </w:p>
    <w:p w14:paraId="4C6FAEA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（二）全日托收费标准</w:t>
      </w:r>
    </w:p>
    <w:tbl>
      <w:tblPr>
        <w:tblStyle w:val="4"/>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2109"/>
        <w:gridCol w:w="2093"/>
        <w:gridCol w:w="2124"/>
      </w:tblGrid>
      <w:tr w14:paraId="0988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72" w:type="pct"/>
            <w:vMerge w:val="restart"/>
            <w:noWrap w:val="0"/>
            <w:vAlign w:val="center"/>
          </w:tcPr>
          <w:p w14:paraId="58E5726F">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托育机构类型</w:t>
            </w:r>
          </w:p>
        </w:tc>
        <w:tc>
          <w:tcPr>
            <w:tcW w:w="3827" w:type="pct"/>
            <w:gridSpan w:val="3"/>
            <w:noWrap w:val="0"/>
            <w:vAlign w:val="center"/>
          </w:tcPr>
          <w:p w14:paraId="691B4C9C">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保育费收费标准（元/生·月）</w:t>
            </w:r>
          </w:p>
        </w:tc>
      </w:tr>
      <w:tr w14:paraId="6C51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72" w:type="pct"/>
            <w:vMerge w:val="continue"/>
            <w:noWrap w:val="0"/>
            <w:vAlign w:val="center"/>
          </w:tcPr>
          <w:p w14:paraId="16BD910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tc>
        <w:tc>
          <w:tcPr>
            <w:tcW w:w="1276" w:type="pct"/>
            <w:noWrap w:val="0"/>
            <w:vAlign w:val="center"/>
          </w:tcPr>
          <w:p w14:paraId="7D56F0BE">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乳儿班</w:t>
            </w:r>
          </w:p>
        </w:tc>
        <w:tc>
          <w:tcPr>
            <w:tcW w:w="1266" w:type="pct"/>
            <w:noWrap w:val="0"/>
            <w:vAlign w:val="center"/>
          </w:tcPr>
          <w:p w14:paraId="4EB6D7E5">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托小班</w:t>
            </w:r>
          </w:p>
        </w:tc>
        <w:tc>
          <w:tcPr>
            <w:tcW w:w="1285" w:type="pct"/>
            <w:noWrap w:val="0"/>
            <w:vAlign w:val="center"/>
          </w:tcPr>
          <w:p w14:paraId="305E39C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托大班</w:t>
            </w:r>
          </w:p>
          <w:p w14:paraId="739969F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（混龄班）</w:t>
            </w:r>
          </w:p>
        </w:tc>
      </w:tr>
      <w:tr w14:paraId="4E56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72" w:type="pct"/>
            <w:noWrap w:val="0"/>
            <w:vAlign w:val="center"/>
          </w:tcPr>
          <w:p w14:paraId="7E2D7E2A">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公办幼儿园</w:t>
            </w:r>
          </w:p>
        </w:tc>
        <w:tc>
          <w:tcPr>
            <w:tcW w:w="1276" w:type="pct"/>
            <w:noWrap w:val="0"/>
            <w:vAlign w:val="center"/>
          </w:tcPr>
          <w:p w14:paraId="548DD4B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266" w:type="pct"/>
            <w:noWrap w:val="0"/>
            <w:vAlign w:val="center"/>
          </w:tcPr>
          <w:p w14:paraId="0C48C77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285" w:type="pct"/>
            <w:noWrap w:val="0"/>
            <w:vAlign w:val="center"/>
          </w:tcPr>
          <w:p w14:paraId="3E4ABE45">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600</w:t>
            </w:r>
          </w:p>
        </w:tc>
      </w:tr>
      <w:tr w14:paraId="55AB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72" w:type="pct"/>
            <w:noWrap w:val="0"/>
            <w:vAlign w:val="center"/>
          </w:tcPr>
          <w:p w14:paraId="2F7D106D">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普惠性民办幼儿园</w:t>
            </w:r>
          </w:p>
        </w:tc>
        <w:tc>
          <w:tcPr>
            <w:tcW w:w="1276" w:type="pct"/>
            <w:noWrap w:val="0"/>
            <w:vAlign w:val="center"/>
          </w:tcPr>
          <w:p w14:paraId="21A98D0D">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266" w:type="pct"/>
            <w:noWrap w:val="0"/>
            <w:vAlign w:val="center"/>
          </w:tcPr>
          <w:p w14:paraId="723AFDEE">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285" w:type="pct"/>
            <w:noWrap w:val="0"/>
            <w:vAlign w:val="center"/>
          </w:tcPr>
          <w:p w14:paraId="22A89BE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900</w:t>
            </w:r>
          </w:p>
        </w:tc>
      </w:tr>
      <w:tr w14:paraId="08BB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72" w:type="pct"/>
            <w:noWrap w:val="0"/>
            <w:vAlign w:val="center"/>
          </w:tcPr>
          <w:p w14:paraId="1F469E32">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公办托育机构</w:t>
            </w:r>
          </w:p>
        </w:tc>
        <w:tc>
          <w:tcPr>
            <w:tcW w:w="1276" w:type="pct"/>
            <w:noWrap w:val="0"/>
            <w:vAlign w:val="center"/>
          </w:tcPr>
          <w:p w14:paraId="017057BA">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2000</w:t>
            </w:r>
          </w:p>
        </w:tc>
        <w:tc>
          <w:tcPr>
            <w:tcW w:w="1266" w:type="pct"/>
            <w:noWrap w:val="0"/>
            <w:vAlign w:val="center"/>
          </w:tcPr>
          <w:p w14:paraId="4C9F573E">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1400</w:t>
            </w:r>
          </w:p>
        </w:tc>
        <w:tc>
          <w:tcPr>
            <w:tcW w:w="1285" w:type="pct"/>
            <w:noWrap w:val="0"/>
            <w:vAlign w:val="center"/>
          </w:tcPr>
          <w:p w14:paraId="636950D8">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1100</w:t>
            </w:r>
          </w:p>
        </w:tc>
      </w:tr>
    </w:tbl>
    <w:p w14:paraId="6B9AF23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（三）其他托育形式收费标准</w:t>
      </w:r>
    </w:p>
    <w:p w14:paraId="1D01A2E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全日托时间一般不少于8小时/日，具体由卫健、教育部门研究确定。提供半日托（不少于4小时）、计时托等其他托育服务的，收费标准以按小时折算的全日托保育费为基准，由托育双方协议约定。</w:t>
      </w:r>
    </w:p>
    <w:p w14:paraId="0E31B95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仿宋_GB2312" w:hAnsi="仿宋_GB2312" w:eastAsia="仿宋_GB2312" w:cs="仿宋_GB2312"/>
          <w:b w:val="0"/>
          <w:bCs w:val="0"/>
          <w:color w:val="000000"/>
          <w:sz w:val="32"/>
          <w:szCs w:val="32"/>
        </w:rPr>
        <w:t>上述收费标准</w:t>
      </w:r>
      <w:r>
        <w:rPr>
          <w:rFonts w:hint="eastAsia" w:ascii="仿宋_GB2312" w:hAnsi="仿宋_GB2312" w:eastAsia="仿宋_GB2312" w:cs="仿宋_GB2312"/>
          <w:b w:val="0"/>
          <w:bCs w:val="0"/>
          <w:color w:val="000000"/>
          <w:sz w:val="32"/>
          <w:szCs w:val="32"/>
          <w:lang w:eastAsia="zh-CN"/>
        </w:rPr>
        <w:t>均</w:t>
      </w:r>
      <w:r>
        <w:rPr>
          <w:rFonts w:hint="eastAsia" w:ascii="仿宋_GB2312" w:hAnsi="仿宋_GB2312" w:eastAsia="仿宋_GB2312" w:cs="仿宋_GB2312"/>
          <w:b w:val="0"/>
          <w:bCs w:val="0"/>
          <w:color w:val="000000"/>
          <w:sz w:val="32"/>
          <w:szCs w:val="32"/>
        </w:rPr>
        <w:t>为</w:t>
      </w:r>
      <w:r>
        <w:rPr>
          <w:rFonts w:hint="eastAsia" w:ascii="仿宋_GB2312" w:hAnsi="仿宋_GB2312" w:eastAsia="仿宋_GB2312" w:cs="仿宋_GB2312"/>
          <w:b w:val="0"/>
          <w:bCs w:val="0"/>
          <w:color w:val="000000"/>
          <w:sz w:val="32"/>
          <w:szCs w:val="32"/>
          <w:lang w:eastAsia="zh-CN"/>
        </w:rPr>
        <w:t>最高上限标准</w:t>
      </w:r>
      <w:r>
        <w:rPr>
          <w:rFonts w:hint="eastAsia" w:ascii="仿宋_GB2312" w:hAnsi="仿宋_GB2312" w:eastAsia="仿宋_GB2312" w:cs="仿宋_GB2312"/>
          <w:b w:val="0"/>
          <w:bCs w:val="0"/>
          <w:color w:val="000000"/>
          <w:sz w:val="32"/>
          <w:szCs w:val="32"/>
        </w:rPr>
        <w:t>，各类托育服务机构可结合实际情况</w:t>
      </w:r>
      <w:r>
        <w:rPr>
          <w:rFonts w:hint="eastAsia" w:ascii="仿宋_GB2312" w:hAnsi="仿宋_GB2312" w:eastAsia="仿宋_GB2312" w:cs="仿宋_GB2312"/>
          <w:b w:val="0"/>
          <w:bCs w:val="0"/>
          <w:color w:val="auto"/>
          <w:sz w:val="32"/>
          <w:szCs w:val="32"/>
        </w:rPr>
        <w:t>下浮执行。</w:t>
      </w:r>
      <w:r>
        <w:rPr>
          <w:rFonts w:hint="eastAsia" w:ascii="仿宋_GB2312" w:hAnsi="仿宋_GB2312" w:eastAsia="仿宋_GB2312" w:cs="仿宋_GB2312"/>
          <w:color w:val="auto"/>
          <w:sz w:val="32"/>
          <w:szCs w:val="32"/>
          <w:highlight w:val="none"/>
          <w:lang w:val="en-US" w:eastAsia="zh-CN"/>
        </w:rPr>
        <w:t>公办</w:t>
      </w:r>
      <w:r>
        <w:rPr>
          <w:rFonts w:hint="eastAsia" w:ascii="仿宋_GB2312" w:hAnsi="仿宋_GB2312" w:eastAsia="仿宋_GB2312" w:cs="仿宋_GB2312"/>
          <w:color w:val="000000"/>
          <w:sz w:val="32"/>
          <w:szCs w:val="32"/>
          <w:highlight w:val="none"/>
          <w:lang w:val="en-US" w:eastAsia="zh-CN"/>
        </w:rPr>
        <w:t>及普惠性民办幼儿园托班保育费标准应参考本园学前教育收费标准、托育成本状况、服务水平等因素，在政府指导价范围内合理确定，并报同级卫健、教育、发改、市场监管部门。</w:t>
      </w:r>
    </w:p>
    <w:p w14:paraId="2C1684D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四、有关要求</w:t>
      </w:r>
    </w:p>
    <w:p w14:paraId="7EB3688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color w:val="auto"/>
          <w:kern w:val="2"/>
          <w:sz w:val="32"/>
          <w:szCs w:val="32"/>
          <w:highlight w:val="none"/>
          <w:lang w:val="en-US" w:eastAsia="zh-CN" w:bidi="ar-SA"/>
        </w:rPr>
        <w:t>（一）落实收费公示制度。</w:t>
      </w:r>
      <w:r>
        <w:rPr>
          <w:rFonts w:hint="eastAsia" w:ascii="仿宋_GB2312" w:hAnsi="仿宋_GB2312" w:eastAsia="仿宋_GB2312" w:cs="仿宋_GB2312"/>
          <w:color w:val="auto"/>
          <w:kern w:val="2"/>
          <w:sz w:val="32"/>
          <w:szCs w:val="32"/>
          <w:highlight w:val="none"/>
          <w:lang w:val="en-US" w:eastAsia="zh-CN" w:bidi="ar-SA"/>
        </w:rPr>
        <w:t>托育服务机构应在门户网站、微信公众号等网络平台，以及经营场所公示栏、服务大厅等显著位置</w:t>
      </w:r>
      <w:r>
        <w:rPr>
          <w:rFonts w:hint="eastAsia" w:ascii="仿宋_GB2312" w:hAnsi="仿宋_GB2312" w:eastAsia="仿宋_GB2312" w:cs="仿宋_GB2312"/>
          <w:sz w:val="32"/>
          <w:szCs w:val="32"/>
          <w:lang w:eastAsia="zh-CN"/>
        </w:rPr>
        <w:t>常态化公示收费项目、收费标准、服务内容及投诉电话“12315”等信息；同步</w:t>
      </w:r>
      <w:r>
        <w:rPr>
          <w:rFonts w:hint="eastAsia" w:ascii="仿宋_GB2312" w:hAnsi="仿宋_GB2312" w:eastAsia="仿宋_GB2312" w:cs="仿宋_GB2312"/>
          <w:color w:val="auto"/>
          <w:kern w:val="2"/>
          <w:sz w:val="32"/>
          <w:szCs w:val="32"/>
          <w:highlight w:val="none"/>
          <w:lang w:val="en-US" w:eastAsia="zh-CN" w:bidi="ar-SA"/>
        </w:rPr>
        <w:t>发布招生简章、入托通知、财务信息公告，常年动态公开和更新服务费用目录清单，</w:t>
      </w:r>
      <w:r>
        <w:rPr>
          <w:rFonts w:hint="eastAsia" w:ascii="仿宋_GB2312" w:hAnsi="仿宋_GB2312" w:eastAsia="仿宋_GB2312" w:cs="仿宋_GB2312"/>
          <w:sz w:val="32"/>
          <w:szCs w:val="32"/>
          <w:lang w:eastAsia="zh-CN"/>
        </w:rPr>
        <w:t>自觉接受社会与相关部门监督，并做好托育收费政策的宣传解读工作。</w:t>
      </w:r>
    </w:p>
    <w:p w14:paraId="33F4B698">
      <w:pPr>
        <w:keepNext w:val="0"/>
        <w:keepLines w:val="0"/>
        <w:pageBreakBefore w:val="0"/>
        <w:widowControl w:val="0"/>
        <w:kinsoku/>
        <w:wordWrap/>
        <w:topLinePunct w:val="0"/>
        <w:autoSpaceDE/>
        <w:bidi w:val="0"/>
        <w:spacing w:line="62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b/>
          <w:bCs/>
          <w:color w:val="auto"/>
          <w:kern w:val="2"/>
          <w:sz w:val="32"/>
          <w:szCs w:val="32"/>
          <w:highlight w:val="none"/>
          <w:lang w:val="en-US" w:eastAsia="zh-CN" w:bidi="ar-SA"/>
        </w:rPr>
        <w:t>（二）严格规范收退费规则。</w:t>
      </w:r>
      <w:r>
        <w:rPr>
          <w:rFonts w:hint="eastAsia" w:ascii="仿宋_GB2312" w:hAnsi="仿宋_GB2312" w:eastAsia="仿宋_GB2312" w:cs="仿宋_GB2312"/>
          <w:sz w:val="32"/>
          <w:szCs w:val="32"/>
        </w:rPr>
        <w:t>相关费用按月收取，也可由家长自愿选择按季度或学期交纳，</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跨学期预收。</w:t>
      </w:r>
      <w:r>
        <w:rPr>
          <w:rFonts w:hint="eastAsia" w:ascii="仿宋_GB2312" w:hAnsi="仿宋_GB2312" w:eastAsia="仿宋_GB2312" w:cs="仿宋_GB2312"/>
          <w:b w:val="0"/>
          <w:bCs w:val="0"/>
          <w:color w:val="000000"/>
          <w:sz w:val="32"/>
          <w:szCs w:val="32"/>
          <w:lang w:val="en-US" w:eastAsia="zh-CN"/>
        </w:rPr>
        <w:t>托育机构提高</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保育</w:t>
      </w:r>
      <w:r>
        <w:rPr>
          <w:rFonts w:hint="eastAsia" w:ascii="仿宋_GB2312" w:hAnsi="仿宋_GB2312" w:eastAsia="仿宋_GB2312" w:cs="仿宋_GB2312"/>
          <w:b w:val="0"/>
          <w:bCs w:val="0"/>
          <w:color w:val="000000"/>
          <w:sz w:val="32"/>
          <w:szCs w:val="32"/>
          <w:lang w:val="en-US" w:eastAsia="zh-CN"/>
        </w:rPr>
        <w:t>费标准时，实行“新生新办法，老生老办法”；托育机构降低</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保育</w:t>
      </w:r>
      <w:r>
        <w:rPr>
          <w:rFonts w:hint="eastAsia" w:ascii="仿宋_GB2312" w:hAnsi="仿宋_GB2312" w:eastAsia="仿宋_GB2312" w:cs="仿宋_GB2312"/>
          <w:b w:val="0"/>
          <w:bCs w:val="0"/>
          <w:color w:val="000000"/>
          <w:sz w:val="32"/>
          <w:szCs w:val="32"/>
          <w:lang w:val="en-US" w:eastAsia="zh-CN"/>
        </w:rPr>
        <w:t>费标准时，</w:t>
      </w:r>
      <w:r>
        <w:rPr>
          <w:rFonts w:hint="eastAsia" w:ascii="仿宋_GB2312" w:hAnsi="仿宋_GB2312" w:eastAsia="仿宋_GB2312" w:cs="仿宋_GB2312"/>
          <w:b w:val="0"/>
          <w:bCs w:val="0"/>
          <w:color w:val="000000"/>
          <w:kern w:val="2"/>
          <w:sz w:val="32"/>
          <w:szCs w:val="32"/>
          <w:highlight w:val="none"/>
          <w:lang w:val="en-US" w:eastAsia="zh-CN" w:bidi="ar-SA"/>
        </w:rPr>
        <w:t>所有在托婴幼儿</w:t>
      </w:r>
      <w:r>
        <w:rPr>
          <w:rFonts w:hint="eastAsia" w:ascii="仿宋_GB2312" w:hAnsi="仿宋_GB2312" w:eastAsia="仿宋_GB2312" w:cs="仿宋_GB2312"/>
          <w:b w:val="0"/>
          <w:bCs w:val="0"/>
          <w:color w:val="000000"/>
          <w:sz w:val="32"/>
          <w:szCs w:val="32"/>
          <w:lang w:val="en-US" w:eastAsia="zh-CN"/>
        </w:rPr>
        <w:t>均按照新的标准执行。转入或因病期满继续入托的</w:t>
      </w:r>
      <w:r>
        <w:rPr>
          <w:rFonts w:hint="eastAsia" w:ascii="仿宋_GB2312" w:hAnsi="仿宋_GB2312" w:eastAsia="仿宋_GB2312" w:cs="仿宋_GB2312"/>
          <w:b w:val="0"/>
          <w:bCs w:val="0"/>
          <w:color w:val="000000"/>
          <w:kern w:val="2"/>
          <w:sz w:val="32"/>
          <w:szCs w:val="32"/>
          <w:highlight w:val="none"/>
          <w:lang w:val="en-US" w:eastAsia="zh-CN" w:bidi="ar-SA"/>
        </w:rPr>
        <w:t>婴幼儿</w:t>
      </w:r>
      <w:r>
        <w:rPr>
          <w:rFonts w:hint="eastAsia" w:ascii="仿宋_GB2312" w:hAnsi="仿宋_GB2312" w:eastAsia="仿宋_GB2312" w:cs="仿宋_GB2312"/>
          <w:b w:val="0"/>
          <w:bCs w:val="0"/>
          <w:color w:val="000000"/>
          <w:sz w:val="32"/>
          <w:szCs w:val="32"/>
          <w:lang w:val="en-US" w:eastAsia="zh-CN"/>
        </w:rPr>
        <w:t>，按照随读班级的收费标准执行。婴</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幼儿因住院或传染性疾病不能入托的、</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因突发事件（自然灾害、公共卫生</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等</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或</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托育机构原因</w:t>
      </w:r>
      <w:r>
        <w:rPr>
          <w:rFonts w:hint="eastAsia" w:ascii="仿宋_GB2312" w:hAnsi="仿宋_GB2312" w:eastAsia="仿宋_GB2312" w:cs="仿宋_GB2312"/>
          <w:color w:val="auto"/>
          <w:sz w:val="32"/>
          <w:szCs w:val="32"/>
          <w:highlight w:val="none"/>
          <w:u w:val="none"/>
        </w:rPr>
        <w:t>停园停托</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的，</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托育机构应根据婴幼儿实际在托天数，按天计退。伙食（含餐点）费按学期或按月收取，根据婴幼儿在托</w:t>
      </w:r>
      <w:r>
        <w:rPr>
          <w:rFonts w:hint="eastAsia" w:ascii="Times New Roman" w:hAnsi="Times New Roman" w:eastAsia="仿宋_GB2312" w:cs="Times New Roman"/>
          <w:b w:val="0"/>
          <w:i w:val="0"/>
          <w:caps w:val="0"/>
          <w:color w:val="000000"/>
          <w:spacing w:val="0"/>
          <w:kern w:val="0"/>
          <w:sz w:val="32"/>
          <w:szCs w:val="32"/>
          <w:shd w:val="clear" w:color="auto" w:fill="FFFFFF"/>
          <w:lang w:val="en-US" w:eastAsia="zh-CN" w:bidi="ar"/>
        </w:rPr>
        <w:t>时间</w:t>
      </w: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
        </w:rPr>
        <w:t>据实结算、按天计退。</w:t>
      </w:r>
    </w:p>
    <w:p w14:paraId="0E9FAC7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C00000"/>
          <w:sz w:val="32"/>
          <w:szCs w:val="32"/>
        </w:rPr>
      </w:pPr>
      <w:r>
        <w:rPr>
          <w:rFonts w:hint="eastAsia" w:ascii="楷体_GB2312" w:hAnsi="楷体_GB2312" w:eastAsia="楷体_GB2312" w:cs="楷体_GB2312"/>
          <w:b/>
          <w:bCs/>
          <w:color w:val="auto"/>
          <w:kern w:val="2"/>
          <w:sz w:val="32"/>
          <w:szCs w:val="32"/>
          <w:highlight w:val="none"/>
          <w:lang w:val="en-US" w:eastAsia="zh-CN" w:bidi="ar-SA"/>
        </w:rPr>
        <w:t>（三）强化联合监督管理。</w:t>
      </w:r>
      <w:r>
        <w:rPr>
          <w:rFonts w:hint="eastAsia" w:ascii="仿宋_GB2312" w:hAnsi="仿宋_GB2312" w:eastAsia="仿宋_GB2312" w:cs="仿宋_GB2312"/>
          <w:color w:val="auto"/>
          <w:sz w:val="32"/>
          <w:szCs w:val="32"/>
        </w:rPr>
        <w:t>托育机构由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级及以上行业主管部门认定发布并定期更新。市场监管、卫生健康、教育、发改等部门</w:t>
      </w:r>
      <w:r>
        <w:rPr>
          <w:rFonts w:hint="eastAsia" w:ascii="仿宋_GB2312" w:hAnsi="仿宋_GB2312" w:eastAsia="仿宋_GB2312" w:cs="仿宋_GB2312"/>
          <w:color w:val="auto"/>
          <w:sz w:val="32"/>
          <w:szCs w:val="32"/>
          <w:lang w:eastAsia="zh-CN"/>
        </w:rPr>
        <w:t>应建立联合监管机制，</w:t>
      </w:r>
      <w:r>
        <w:rPr>
          <w:rFonts w:hint="eastAsia" w:ascii="仿宋_GB2312" w:hAnsi="仿宋_GB2312" w:eastAsia="仿宋_GB2312" w:cs="仿宋_GB2312"/>
          <w:color w:val="auto"/>
          <w:sz w:val="32"/>
          <w:szCs w:val="32"/>
        </w:rPr>
        <w:t>对托育服务机构不执行政府定价、变相提高收费标准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未公示收费</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或公示内容与政策不符等违法违规行为，采取提醒、约谈告诫、信用等方式共同加强监管，依法依规进行查处</w:t>
      </w:r>
      <w:r>
        <w:rPr>
          <w:rFonts w:hint="eastAsia" w:ascii="仿宋_GB2312" w:hAnsi="仿宋_GB2312" w:eastAsia="仿宋_GB2312" w:cs="仿宋_GB2312"/>
          <w:color w:val="auto"/>
          <w:sz w:val="32"/>
          <w:szCs w:val="32"/>
          <w:lang w:eastAsia="zh-CN"/>
        </w:rPr>
        <w:t>，切实维护婴幼儿家长合法权益</w:t>
      </w:r>
      <w:r>
        <w:rPr>
          <w:rFonts w:hint="eastAsia" w:ascii="仿宋_GB2312" w:hAnsi="仿宋_GB2312" w:eastAsia="仿宋_GB2312" w:cs="仿宋_GB2312"/>
          <w:color w:val="auto"/>
          <w:sz w:val="32"/>
          <w:szCs w:val="32"/>
        </w:rPr>
        <w:t>。</w:t>
      </w:r>
    </w:p>
    <w:p w14:paraId="62264D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iddenHorzOCl">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00973"/>
    <w:rsid w:val="4750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basedOn w:val="1"/>
    <w:qFormat/>
    <w:uiPriority w:val="0"/>
    <w:pPr>
      <w:autoSpaceDE w:val="0"/>
      <w:autoSpaceDN w:val="0"/>
      <w:adjustRightInd w:val="0"/>
      <w:jc w:val="left"/>
    </w:pPr>
    <w:rPr>
      <w:rFonts w:ascii="HiddenHorzOCl"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2026-04-07T03:17:00Z</dcterms:created>
  <dc:creator>12</dc:creator>
  <cp:lastModifiedBy>12</cp:lastModifiedBy>
  <dcterms:modified xsi:type="dcterms:W3CDTF">2026-04-07T03:17:53Z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01A3E85549AD482B9BBC1CDF00BFFE15_11</vt:lpwstr>
  </property>
  <property fmtid="{D5CDD505-2E9C-101B-9397-08002B2CF9AE}" pid="4" name="KSOTemplateDocerSaveRecord">
    <vt:lpwstr>eyJoZGlkIjoiNDg0MzBjOWE0OTA0YmEyZDVhYTg4NDFiZWIwOTUwZDEiLCJ1c2VySWQiOiIxNTg3NDg0NTExIn0=</vt:lpwstr>
  </property>
</Properties>
</file>